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2EE" w:rsidRPr="002742EE" w:rsidRDefault="002742EE" w:rsidP="002742EE">
      <w:pPr>
        <w:spacing w:before="100" w:beforeAutospacing="1" w:after="100" w:afterAutospacing="1"/>
        <w:jc w:val="center"/>
        <w:rPr>
          <w:rFonts w:ascii="Times New Roman" w:hAnsi="Times New Roman"/>
          <w:b/>
        </w:rPr>
      </w:pPr>
      <w:r w:rsidRPr="002742EE">
        <w:rPr>
          <w:rFonts w:ascii="Times New Roman" w:hAnsi="Times New Roman"/>
          <w:b/>
        </w:rPr>
        <w:t>МІНІСТЕРСТВО ФІНАНСІВ УКРАЇНИ</w:t>
      </w:r>
    </w:p>
    <w:p w:rsidR="002742EE" w:rsidRPr="002742EE" w:rsidRDefault="002742EE" w:rsidP="002742EE">
      <w:pPr>
        <w:spacing w:before="100" w:beforeAutospacing="1" w:after="100" w:afterAutospacing="1"/>
        <w:jc w:val="center"/>
        <w:rPr>
          <w:rFonts w:ascii="Times New Roman" w:hAnsi="Times New Roman"/>
          <w:b/>
        </w:rPr>
      </w:pPr>
      <w:r w:rsidRPr="002742EE">
        <w:rPr>
          <w:rFonts w:ascii="Times New Roman" w:hAnsi="Times New Roman"/>
          <w:b/>
        </w:rPr>
        <w:t>НАКАЗ</w:t>
      </w:r>
    </w:p>
    <w:tbl>
      <w:tblPr>
        <w:tblW w:w="5000" w:type="pct"/>
        <w:tblCellMar>
          <w:top w:w="15" w:type="dxa"/>
          <w:left w:w="15" w:type="dxa"/>
          <w:bottom w:w="15" w:type="dxa"/>
          <w:right w:w="15" w:type="dxa"/>
        </w:tblCellMar>
        <w:tblLook w:val="04A0"/>
      </w:tblPr>
      <w:tblGrid>
        <w:gridCol w:w="3274"/>
        <w:gridCol w:w="2807"/>
        <w:gridCol w:w="3274"/>
      </w:tblGrid>
      <w:tr w:rsidR="002742EE" w:rsidRPr="002742EE" w:rsidTr="002742EE">
        <w:tc>
          <w:tcPr>
            <w:tcW w:w="1750" w:type="pct"/>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11.03.2019</w:t>
            </w:r>
          </w:p>
        </w:tc>
        <w:tc>
          <w:tcPr>
            <w:tcW w:w="1500" w:type="pct"/>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м. Київ</w:t>
            </w:r>
          </w:p>
        </w:tc>
        <w:tc>
          <w:tcPr>
            <w:tcW w:w="1750" w:type="pct"/>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 104</w:t>
            </w:r>
          </w:p>
        </w:tc>
      </w:tr>
    </w:tbl>
    <w:p w:rsidR="002742EE" w:rsidRPr="002742EE" w:rsidRDefault="002742EE" w:rsidP="002742EE">
      <w:pPr>
        <w:spacing w:before="100" w:beforeAutospacing="1" w:after="100" w:afterAutospacing="1"/>
        <w:jc w:val="right"/>
        <w:rPr>
          <w:rFonts w:ascii="Times New Roman" w:hAnsi="Times New Roman"/>
          <w:sz w:val="22"/>
          <w:szCs w:val="22"/>
        </w:rPr>
      </w:pPr>
      <w:r w:rsidRPr="002742EE">
        <w:rPr>
          <w:rFonts w:ascii="Times New Roman" w:hAnsi="Times New Roman"/>
          <w:sz w:val="22"/>
          <w:szCs w:val="22"/>
        </w:rPr>
        <w:t>Зареєстровано в Міністерстві юстиції України</w:t>
      </w:r>
      <w:r w:rsidRPr="002742EE">
        <w:rPr>
          <w:rFonts w:ascii="Times New Roman" w:hAnsi="Times New Roman"/>
          <w:sz w:val="22"/>
          <w:szCs w:val="22"/>
        </w:rPr>
        <w:br/>
        <w:t>08 квітня 2019 р. за № 372/33343</w:t>
      </w:r>
    </w:p>
    <w:p w:rsidR="002742EE" w:rsidRPr="002742EE" w:rsidRDefault="002742EE" w:rsidP="002742EE">
      <w:pPr>
        <w:spacing w:before="100" w:beforeAutospacing="1" w:after="100" w:afterAutospacing="1"/>
        <w:jc w:val="center"/>
        <w:rPr>
          <w:rFonts w:ascii="Times New Roman" w:hAnsi="Times New Roman"/>
          <w:b/>
          <w:sz w:val="24"/>
          <w:szCs w:val="24"/>
        </w:rPr>
      </w:pPr>
      <w:r w:rsidRPr="002742EE">
        <w:rPr>
          <w:rFonts w:ascii="Times New Roman" w:hAnsi="Times New Roman"/>
          <w:b/>
          <w:sz w:val="24"/>
          <w:szCs w:val="24"/>
        </w:rPr>
        <w:t>Про внесення змін у додаток до Порядку заповнення документів на переказ у разі сплати (стягнення) податків, зборів, митних платежів, єдиного внеску, здійснення бюджетного відшкодування податку на додану вартість, повернення помилково або надміру зарахованих коштів</w:t>
      </w:r>
    </w:p>
    <w:p w:rsidR="002742EE" w:rsidRPr="002742EE" w:rsidRDefault="002742EE" w:rsidP="002742EE">
      <w:pPr>
        <w:spacing w:before="100" w:beforeAutospacing="1" w:after="100" w:afterAutospacing="1"/>
        <w:rPr>
          <w:rFonts w:ascii="Times New Roman" w:hAnsi="Times New Roman"/>
          <w:sz w:val="24"/>
          <w:szCs w:val="24"/>
        </w:rPr>
      </w:pPr>
      <w:r w:rsidRPr="002742EE">
        <w:rPr>
          <w:rFonts w:ascii="Times New Roman" w:hAnsi="Times New Roman"/>
          <w:sz w:val="24"/>
          <w:szCs w:val="24"/>
        </w:rPr>
        <w:t>Відповідно до підпункту 5 пункту 4 Положення про Міністерство фінансів України, затвердженого постановою Кабінету Міністрів України від 20 серпня 2014 року № 375, та з метою удосконалення оперативного обліку податків, зборів, митних платежів та єдиного внеску на загальнообов'язкове державне соціальне страхування</w:t>
      </w:r>
    </w:p>
    <w:p w:rsidR="002742EE" w:rsidRPr="002742EE" w:rsidRDefault="002742EE" w:rsidP="002742EE">
      <w:pPr>
        <w:spacing w:before="100" w:beforeAutospacing="1" w:after="100" w:afterAutospacing="1"/>
        <w:rPr>
          <w:rFonts w:ascii="Times New Roman" w:hAnsi="Times New Roman"/>
          <w:b/>
        </w:rPr>
      </w:pPr>
      <w:r w:rsidRPr="002742EE">
        <w:rPr>
          <w:rFonts w:ascii="Times New Roman" w:hAnsi="Times New Roman"/>
          <w:b/>
        </w:rPr>
        <w:t>НАКАЗУЮ:</w:t>
      </w:r>
    </w:p>
    <w:p w:rsidR="002742EE" w:rsidRPr="002742EE" w:rsidRDefault="002742EE" w:rsidP="002742EE">
      <w:pPr>
        <w:spacing w:before="100" w:beforeAutospacing="1" w:after="100" w:afterAutospacing="1"/>
        <w:rPr>
          <w:rFonts w:ascii="Times New Roman" w:hAnsi="Times New Roman"/>
          <w:sz w:val="24"/>
          <w:szCs w:val="24"/>
        </w:rPr>
      </w:pPr>
      <w:r w:rsidRPr="002742EE">
        <w:rPr>
          <w:rFonts w:ascii="Times New Roman" w:hAnsi="Times New Roman"/>
          <w:sz w:val="24"/>
          <w:szCs w:val="24"/>
        </w:rPr>
        <w:t>1. Внести зміни до додатка до Порядку заповнення документів на переказ у разі сплати (стягнення) податків, зборів, митних платежів, єдиного внеску, здійснення бюджетного відшкодування податку на додану вартість, повернення помилково або надміру зарахованих коштів, затвердженого наказом Міністерства фінансів України від 24 липня 2015 року № 666, зареєстрованого в Міністерстві юстиції України 12 серпня 2015 року за № 974/27419 (із змінами), виклавши його в новій редакції, що додається.</w:t>
      </w:r>
    </w:p>
    <w:p w:rsidR="002742EE" w:rsidRPr="002742EE" w:rsidRDefault="002742EE" w:rsidP="002742EE">
      <w:pPr>
        <w:spacing w:before="100" w:beforeAutospacing="1" w:after="100" w:afterAutospacing="1"/>
        <w:rPr>
          <w:rFonts w:ascii="Times New Roman" w:hAnsi="Times New Roman"/>
          <w:sz w:val="24"/>
          <w:szCs w:val="24"/>
        </w:rPr>
      </w:pPr>
      <w:r w:rsidRPr="002742EE">
        <w:rPr>
          <w:rFonts w:ascii="Times New Roman" w:hAnsi="Times New Roman"/>
          <w:sz w:val="24"/>
          <w:szCs w:val="24"/>
        </w:rPr>
        <w:t>2. Департаменту моніторингу баз даних та верифікації виплат в установленому законодавством порядку забезпечити:</w:t>
      </w:r>
    </w:p>
    <w:p w:rsidR="002742EE" w:rsidRPr="002742EE" w:rsidRDefault="002742EE" w:rsidP="002742EE">
      <w:pPr>
        <w:spacing w:before="100" w:beforeAutospacing="1" w:after="100" w:afterAutospacing="1"/>
        <w:rPr>
          <w:rFonts w:ascii="Times New Roman" w:hAnsi="Times New Roman"/>
          <w:sz w:val="24"/>
          <w:szCs w:val="24"/>
        </w:rPr>
      </w:pPr>
      <w:r w:rsidRPr="002742EE">
        <w:rPr>
          <w:rFonts w:ascii="Times New Roman" w:hAnsi="Times New Roman"/>
          <w:sz w:val="24"/>
          <w:szCs w:val="24"/>
        </w:rPr>
        <w:t>подання цього наказу на державну реєстрацію до Міністерства юстиції України;</w:t>
      </w:r>
    </w:p>
    <w:p w:rsidR="002742EE" w:rsidRPr="002742EE" w:rsidRDefault="002742EE" w:rsidP="002742EE">
      <w:pPr>
        <w:spacing w:before="100" w:beforeAutospacing="1" w:after="100" w:afterAutospacing="1"/>
        <w:rPr>
          <w:rFonts w:ascii="Times New Roman" w:hAnsi="Times New Roman"/>
          <w:sz w:val="24"/>
          <w:szCs w:val="24"/>
        </w:rPr>
      </w:pPr>
      <w:r w:rsidRPr="002742EE">
        <w:rPr>
          <w:rFonts w:ascii="Times New Roman" w:hAnsi="Times New Roman"/>
          <w:sz w:val="24"/>
          <w:szCs w:val="24"/>
        </w:rPr>
        <w:t>оприлюднення цього наказу.</w:t>
      </w:r>
    </w:p>
    <w:p w:rsidR="002742EE" w:rsidRPr="002742EE" w:rsidRDefault="002742EE" w:rsidP="002742EE">
      <w:pPr>
        <w:spacing w:before="100" w:beforeAutospacing="1" w:after="100" w:afterAutospacing="1"/>
        <w:rPr>
          <w:rFonts w:ascii="Times New Roman" w:hAnsi="Times New Roman"/>
          <w:sz w:val="24"/>
          <w:szCs w:val="24"/>
        </w:rPr>
      </w:pPr>
      <w:r w:rsidRPr="002742EE">
        <w:rPr>
          <w:rFonts w:ascii="Times New Roman" w:hAnsi="Times New Roman"/>
          <w:sz w:val="24"/>
          <w:szCs w:val="24"/>
        </w:rPr>
        <w:t>3. Цей наказ набирає чинності з дня його офіційного опублікування.</w:t>
      </w:r>
    </w:p>
    <w:p w:rsidR="002742EE" w:rsidRPr="002742EE" w:rsidRDefault="002742EE" w:rsidP="002742EE">
      <w:pPr>
        <w:spacing w:before="100" w:beforeAutospacing="1" w:after="100" w:afterAutospacing="1"/>
        <w:rPr>
          <w:rFonts w:ascii="Times New Roman" w:hAnsi="Times New Roman"/>
          <w:sz w:val="24"/>
          <w:szCs w:val="24"/>
        </w:rPr>
      </w:pPr>
      <w:r w:rsidRPr="002742EE">
        <w:rPr>
          <w:rFonts w:ascii="Times New Roman" w:hAnsi="Times New Roman"/>
          <w:sz w:val="24"/>
          <w:szCs w:val="24"/>
        </w:rPr>
        <w:t>4. Контроль за виконанням цього наказу залишаю за собою та покладаю на в. о. Голови Державної фіскальної служби України Власова О. С.</w:t>
      </w:r>
    </w:p>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 </w:t>
      </w:r>
    </w:p>
    <w:tbl>
      <w:tblPr>
        <w:tblW w:w="5000" w:type="pct"/>
        <w:tblCellMar>
          <w:top w:w="48" w:type="dxa"/>
          <w:left w:w="48" w:type="dxa"/>
          <w:bottom w:w="48" w:type="dxa"/>
          <w:right w:w="48" w:type="dxa"/>
        </w:tblCellMar>
        <w:tblLook w:val="04A0"/>
      </w:tblPr>
      <w:tblGrid>
        <w:gridCol w:w="4677"/>
        <w:gridCol w:w="4678"/>
      </w:tblGrid>
      <w:tr w:rsidR="002742EE" w:rsidRPr="002742EE" w:rsidTr="002742EE">
        <w:tc>
          <w:tcPr>
            <w:tcW w:w="2500" w:type="pct"/>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rPr>
                <w:rFonts w:ascii="Times New Roman" w:hAnsi="Times New Roman"/>
                <w:b/>
              </w:rPr>
            </w:pPr>
            <w:r w:rsidRPr="002742EE">
              <w:rPr>
                <w:rFonts w:ascii="Times New Roman" w:hAnsi="Times New Roman"/>
                <w:b/>
              </w:rPr>
              <w:t>Міністр</w:t>
            </w:r>
          </w:p>
        </w:tc>
        <w:tc>
          <w:tcPr>
            <w:tcW w:w="2500" w:type="pct"/>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rPr>
                <w:rFonts w:ascii="Times New Roman" w:hAnsi="Times New Roman"/>
                <w:b/>
              </w:rPr>
            </w:pPr>
            <w:r w:rsidRPr="002742EE">
              <w:rPr>
                <w:rFonts w:ascii="Times New Roman" w:hAnsi="Times New Roman"/>
                <w:b/>
              </w:rPr>
              <w:t xml:space="preserve">О. </w:t>
            </w:r>
            <w:proofErr w:type="spellStart"/>
            <w:r w:rsidRPr="002742EE">
              <w:rPr>
                <w:rFonts w:ascii="Times New Roman" w:hAnsi="Times New Roman"/>
                <w:b/>
              </w:rPr>
              <w:t>Маркарова</w:t>
            </w:r>
            <w:proofErr w:type="spellEnd"/>
          </w:p>
        </w:tc>
      </w:tr>
      <w:tr w:rsidR="002742EE" w:rsidRPr="002742EE" w:rsidTr="002742EE">
        <w:tc>
          <w:tcPr>
            <w:tcW w:w="2500" w:type="pct"/>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rPr>
                <w:rFonts w:ascii="Times New Roman" w:hAnsi="Times New Roman"/>
                <w:b/>
              </w:rPr>
            </w:pPr>
            <w:r w:rsidRPr="002742EE">
              <w:rPr>
                <w:rFonts w:ascii="Times New Roman" w:hAnsi="Times New Roman"/>
                <w:b/>
              </w:rPr>
              <w:t>ПОГОДЖЕНО:</w:t>
            </w:r>
          </w:p>
        </w:tc>
        <w:tc>
          <w:tcPr>
            <w:tcW w:w="2500" w:type="pct"/>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rPr>
                <w:rFonts w:ascii="Times New Roman" w:hAnsi="Times New Roman"/>
                <w:b/>
              </w:rPr>
            </w:pPr>
            <w:r w:rsidRPr="002742EE">
              <w:rPr>
                <w:rFonts w:ascii="Times New Roman" w:hAnsi="Times New Roman"/>
                <w:b/>
              </w:rPr>
              <w:t> </w:t>
            </w:r>
          </w:p>
        </w:tc>
      </w:tr>
      <w:tr w:rsidR="002742EE" w:rsidRPr="002742EE" w:rsidTr="002742EE">
        <w:tc>
          <w:tcPr>
            <w:tcW w:w="2500" w:type="pct"/>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rPr>
                <w:rFonts w:ascii="Times New Roman" w:hAnsi="Times New Roman"/>
                <w:b/>
              </w:rPr>
            </w:pPr>
            <w:r w:rsidRPr="002742EE">
              <w:rPr>
                <w:rFonts w:ascii="Times New Roman" w:hAnsi="Times New Roman"/>
                <w:b/>
              </w:rPr>
              <w:t>В. о. Голови Державної</w:t>
            </w:r>
            <w:r w:rsidRPr="002742EE">
              <w:rPr>
                <w:rFonts w:ascii="Times New Roman" w:hAnsi="Times New Roman"/>
                <w:b/>
              </w:rPr>
              <w:br/>
              <w:t>фіскальної служби України</w:t>
            </w:r>
          </w:p>
        </w:tc>
        <w:tc>
          <w:tcPr>
            <w:tcW w:w="2500" w:type="pct"/>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rPr>
                <w:rFonts w:ascii="Times New Roman" w:hAnsi="Times New Roman"/>
                <w:b/>
              </w:rPr>
            </w:pPr>
            <w:r w:rsidRPr="002742EE">
              <w:rPr>
                <w:rFonts w:ascii="Times New Roman" w:hAnsi="Times New Roman"/>
                <w:b/>
              </w:rPr>
              <w:t>О. Власов</w:t>
            </w:r>
          </w:p>
        </w:tc>
      </w:tr>
      <w:tr w:rsidR="002742EE" w:rsidRPr="002742EE" w:rsidTr="002742EE">
        <w:tc>
          <w:tcPr>
            <w:tcW w:w="2500" w:type="pct"/>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rPr>
                <w:rFonts w:ascii="Times New Roman" w:hAnsi="Times New Roman"/>
                <w:b/>
              </w:rPr>
            </w:pPr>
            <w:r w:rsidRPr="002742EE">
              <w:rPr>
                <w:rFonts w:ascii="Times New Roman" w:hAnsi="Times New Roman"/>
                <w:b/>
              </w:rPr>
              <w:t>Голова Державної</w:t>
            </w:r>
            <w:r w:rsidRPr="002742EE">
              <w:rPr>
                <w:rFonts w:ascii="Times New Roman" w:hAnsi="Times New Roman"/>
                <w:b/>
              </w:rPr>
              <w:br/>
              <w:t>казначейської служби України</w:t>
            </w:r>
          </w:p>
        </w:tc>
        <w:tc>
          <w:tcPr>
            <w:tcW w:w="2500" w:type="pct"/>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rPr>
                <w:rFonts w:ascii="Times New Roman" w:hAnsi="Times New Roman"/>
                <w:b/>
              </w:rPr>
            </w:pPr>
            <w:r w:rsidRPr="002742EE">
              <w:rPr>
                <w:rFonts w:ascii="Times New Roman" w:hAnsi="Times New Roman"/>
                <w:b/>
              </w:rPr>
              <w:t xml:space="preserve">Т. </w:t>
            </w:r>
            <w:proofErr w:type="spellStart"/>
            <w:r w:rsidRPr="002742EE">
              <w:rPr>
                <w:rFonts w:ascii="Times New Roman" w:hAnsi="Times New Roman"/>
                <w:b/>
              </w:rPr>
              <w:t>Слюз</w:t>
            </w:r>
            <w:proofErr w:type="spellEnd"/>
          </w:p>
        </w:tc>
      </w:tr>
      <w:tr w:rsidR="002742EE" w:rsidRPr="002742EE" w:rsidTr="002742EE">
        <w:tc>
          <w:tcPr>
            <w:tcW w:w="2500" w:type="pct"/>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rPr>
                <w:rFonts w:ascii="Times New Roman" w:hAnsi="Times New Roman"/>
                <w:b/>
              </w:rPr>
            </w:pPr>
            <w:r w:rsidRPr="002742EE">
              <w:rPr>
                <w:rFonts w:ascii="Times New Roman" w:hAnsi="Times New Roman"/>
                <w:b/>
              </w:rPr>
              <w:t>Голова Національного</w:t>
            </w:r>
            <w:r w:rsidRPr="002742EE">
              <w:rPr>
                <w:rFonts w:ascii="Times New Roman" w:hAnsi="Times New Roman"/>
                <w:b/>
              </w:rPr>
              <w:br/>
              <w:t>банку України</w:t>
            </w:r>
          </w:p>
        </w:tc>
        <w:tc>
          <w:tcPr>
            <w:tcW w:w="2500" w:type="pct"/>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rPr>
                <w:rFonts w:ascii="Times New Roman" w:hAnsi="Times New Roman"/>
                <w:b/>
              </w:rPr>
            </w:pPr>
            <w:r w:rsidRPr="002742EE">
              <w:rPr>
                <w:rFonts w:ascii="Times New Roman" w:hAnsi="Times New Roman"/>
                <w:b/>
              </w:rPr>
              <w:t>Я. Смолій</w:t>
            </w:r>
          </w:p>
        </w:tc>
      </w:tr>
      <w:tr w:rsidR="002742EE" w:rsidRPr="002742EE" w:rsidTr="002742EE">
        <w:tc>
          <w:tcPr>
            <w:tcW w:w="2500" w:type="pct"/>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rPr>
                <w:rFonts w:ascii="Times New Roman" w:hAnsi="Times New Roman"/>
                <w:b/>
              </w:rPr>
            </w:pPr>
            <w:r w:rsidRPr="002742EE">
              <w:rPr>
                <w:rFonts w:ascii="Times New Roman" w:hAnsi="Times New Roman"/>
                <w:b/>
              </w:rPr>
              <w:t>В. о. Голови Фонду</w:t>
            </w:r>
            <w:r w:rsidRPr="002742EE">
              <w:rPr>
                <w:rFonts w:ascii="Times New Roman" w:hAnsi="Times New Roman"/>
                <w:b/>
              </w:rPr>
              <w:br/>
            </w:r>
            <w:r w:rsidRPr="002742EE">
              <w:rPr>
                <w:rFonts w:ascii="Times New Roman" w:hAnsi="Times New Roman"/>
                <w:b/>
              </w:rPr>
              <w:lastRenderedPageBreak/>
              <w:t>державного майна України</w:t>
            </w:r>
          </w:p>
        </w:tc>
        <w:tc>
          <w:tcPr>
            <w:tcW w:w="2500" w:type="pct"/>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rPr>
                <w:rFonts w:ascii="Times New Roman" w:hAnsi="Times New Roman"/>
                <w:b/>
              </w:rPr>
            </w:pPr>
            <w:r w:rsidRPr="002742EE">
              <w:rPr>
                <w:rFonts w:ascii="Times New Roman" w:hAnsi="Times New Roman"/>
                <w:b/>
              </w:rPr>
              <w:lastRenderedPageBreak/>
              <w:t xml:space="preserve">В. </w:t>
            </w:r>
            <w:proofErr w:type="spellStart"/>
            <w:r w:rsidRPr="002742EE">
              <w:rPr>
                <w:rFonts w:ascii="Times New Roman" w:hAnsi="Times New Roman"/>
                <w:b/>
              </w:rPr>
              <w:t>Трубаров</w:t>
            </w:r>
            <w:proofErr w:type="spellEnd"/>
          </w:p>
        </w:tc>
      </w:tr>
      <w:tr w:rsidR="002742EE" w:rsidRPr="002742EE" w:rsidTr="002742EE">
        <w:tc>
          <w:tcPr>
            <w:tcW w:w="2500" w:type="pct"/>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rPr>
                <w:rFonts w:ascii="Times New Roman" w:hAnsi="Times New Roman"/>
                <w:b/>
              </w:rPr>
            </w:pPr>
            <w:r w:rsidRPr="002742EE">
              <w:rPr>
                <w:rFonts w:ascii="Times New Roman" w:hAnsi="Times New Roman"/>
                <w:b/>
              </w:rPr>
              <w:lastRenderedPageBreak/>
              <w:t>Голова Державної</w:t>
            </w:r>
            <w:r w:rsidRPr="002742EE">
              <w:rPr>
                <w:rFonts w:ascii="Times New Roman" w:hAnsi="Times New Roman"/>
                <w:b/>
              </w:rPr>
              <w:br/>
              <w:t>регуляторної служби України</w:t>
            </w:r>
          </w:p>
        </w:tc>
        <w:tc>
          <w:tcPr>
            <w:tcW w:w="2500" w:type="pct"/>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rPr>
                <w:rFonts w:ascii="Times New Roman" w:hAnsi="Times New Roman"/>
                <w:b/>
              </w:rPr>
            </w:pPr>
            <w:r w:rsidRPr="002742EE">
              <w:rPr>
                <w:rFonts w:ascii="Times New Roman" w:hAnsi="Times New Roman"/>
                <w:b/>
              </w:rPr>
              <w:t xml:space="preserve">К. </w:t>
            </w:r>
            <w:proofErr w:type="spellStart"/>
            <w:r w:rsidRPr="002742EE">
              <w:rPr>
                <w:rFonts w:ascii="Times New Roman" w:hAnsi="Times New Roman"/>
                <w:b/>
              </w:rPr>
              <w:t>Ляпіна</w:t>
            </w:r>
            <w:proofErr w:type="spellEnd"/>
          </w:p>
        </w:tc>
      </w:tr>
    </w:tbl>
    <w:p w:rsidR="002742EE" w:rsidRDefault="002742EE" w:rsidP="002742EE">
      <w:pPr>
        <w:spacing w:before="100" w:beforeAutospacing="1" w:after="100" w:afterAutospacing="1"/>
        <w:rPr>
          <w:rFonts w:ascii="Times New Roman" w:hAnsi="Times New Roman"/>
          <w:lang w:val="ru-RU"/>
        </w:rPr>
      </w:pPr>
      <w:r w:rsidRPr="002742EE">
        <w:rPr>
          <w:rFonts w:ascii="Times New Roman" w:hAnsi="Times New Roman"/>
        </w:rPr>
        <w:t>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2742EE" w:rsidTr="002742EE">
        <w:tc>
          <w:tcPr>
            <w:tcW w:w="4785" w:type="dxa"/>
          </w:tcPr>
          <w:p w:rsidR="002742EE" w:rsidRDefault="002742EE" w:rsidP="002742EE">
            <w:pPr>
              <w:spacing w:before="100" w:beforeAutospacing="1" w:after="100" w:afterAutospacing="1"/>
              <w:rPr>
                <w:rFonts w:ascii="Times New Roman" w:hAnsi="Times New Roman"/>
                <w:lang w:val="ru-RU"/>
              </w:rPr>
            </w:pPr>
          </w:p>
        </w:tc>
        <w:tc>
          <w:tcPr>
            <w:tcW w:w="4786" w:type="dxa"/>
          </w:tcPr>
          <w:p w:rsidR="002742EE" w:rsidRPr="002742EE" w:rsidRDefault="002742EE" w:rsidP="002742EE">
            <w:pPr>
              <w:spacing w:before="100" w:beforeAutospacing="1" w:after="100" w:afterAutospacing="1"/>
              <w:rPr>
                <w:rFonts w:ascii="Times New Roman" w:hAnsi="Times New Roman"/>
                <w:sz w:val="20"/>
                <w:lang w:val="ru-RU"/>
              </w:rPr>
            </w:pPr>
            <w:r w:rsidRPr="002742EE">
              <w:rPr>
                <w:rFonts w:ascii="Times New Roman" w:hAnsi="Times New Roman"/>
                <w:sz w:val="20"/>
              </w:rPr>
              <w:t>Додаток</w:t>
            </w:r>
            <w:r w:rsidRPr="002742EE">
              <w:rPr>
                <w:rFonts w:ascii="Times New Roman" w:hAnsi="Times New Roman"/>
                <w:sz w:val="20"/>
              </w:rPr>
              <w:br/>
              <w:t>до Порядку заповнення документів на переказ у разі сплати (стягнення) податків, зборів, митних платежів, єдиного внеску, здійснення бюджетного відшкодування податку на додану вартість, повернення помилково або надміру зарахованих коштів</w:t>
            </w:r>
            <w:r w:rsidRPr="002742EE">
              <w:rPr>
                <w:rFonts w:ascii="Times New Roman" w:hAnsi="Times New Roman"/>
                <w:sz w:val="20"/>
              </w:rPr>
              <w:br/>
              <w:t>(пункт 10)</w:t>
            </w:r>
          </w:p>
        </w:tc>
      </w:tr>
    </w:tbl>
    <w:p w:rsidR="002742EE" w:rsidRPr="002742EE" w:rsidRDefault="002742EE" w:rsidP="002742EE">
      <w:pPr>
        <w:spacing w:before="100" w:beforeAutospacing="1" w:after="100" w:afterAutospacing="1"/>
        <w:rPr>
          <w:rFonts w:ascii="Times New Roman" w:hAnsi="Times New Roman"/>
          <w:b/>
        </w:rPr>
      </w:pPr>
      <w:r w:rsidRPr="002742EE">
        <w:rPr>
          <w:rFonts w:ascii="Times New Roman" w:hAnsi="Times New Roman"/>
          <w:b/>
        </w:rPr>
        <w:t>Перелік кодів видів сплати</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31"/>
        <w:gridCol w:w="8340"/>
      </w:tblGrid>
      <w:tr w:rsidR="002742EE" w:rsidRPr="002742EE" w:rsidTr="002D585D">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Код виду сплати</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Вид сплати</w:t>
            </w:r>
          </w:p>
        </w:tc>
      </w:tr>
      <w:tr w:rsidR="002742EE" w:rsidRPr="002742EE" w:rsidTr="002D585D">
        <w:tc>
          <w:tcPr>
            <w:tcW w:w="500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Використовуються під час заповнення документів на переказ платниками податків</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101</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Сплата суми податків і зборів / єдиного внеску</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109</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Оплата податкового векселя</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058</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Проведення взаєморозрахунків з погашення податкового боргу та/або розстрочених (відстрочених) грошових зобов'язань</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121</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Сплата адміністративного штрафу</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125</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Авансові внески, нараховані на суму дивідендів та прирівняних до них платежів</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128</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Сплата грошових зобов'язань / сум єдиного внеску, визначених за результатами камеральної перевірки підрозділів податків і зборів з фізичних осіб</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130</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Сплата грошового зобов'язання, визначеного за результатами камеральної перевірки підрозділів податків і зборів з юридичних осіб</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131</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Сплата грошового зобов'язання, визначеного за результатами документальної/фактичної перевірки підрозділів аудиту</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133</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Сплата грошових зобов'язань / сум єдиного внеску, пені, визначених за результатами документальної/фактичної перевірки підрозділів податків і зборів з фізичних осіб</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134</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Сплата грошового зобов'язання, визначеного за результатами перевірки підрозділів аудиту (інші надходження)</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135</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Сплата фінансових санкцій, визначених підрозділом податків і зборів з юридичних осіб</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136</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Сплата грошового зобов'язання, визначеного територіальним органом ДФС за результатами роботи підрозділів погашення боргу</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137</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Сплата грошового зобов'язання, визначеного територіальним органом ДФС за результатами роботи інших підрозділів</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138</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Сплата грошового зобов'язання, визначеного за результатами перевірки підрозділів податків і зборів з фізичних осіб (інші надходження)</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140</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 xml:space="preserve">Надходження до бюджету коштів у рахунок погашення податкового боргу </w:t>
            </w:r>
            <w:r w:rsidRPr="002742EE">
              <w:rPr>
                <w:rFonts w:ascii="Times New Roman" w:hAnsi="Times New Roman"/>
              </w:rPr>
              <w:lastRenderedPageBreak/>
              <w:t>/ недоїмки з єдиного внеску</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lastRenderedPageBreak/>
              <w:t>145</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Надходження розстрочених (відстрочених) сум</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244</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Сплата податкового зобов'язання за уточнюючим розрахунком у разі застосування податкового компромісу</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246</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Сплата податкового зобов'язання за податковим повідомленням-рішенням у разі застосування податкового компромісу</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350</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Передоплата (доплата) митних платежів</w:t>
            </w:r>
          </w:p>
        </w:tc>
      </w:tr>
      <w:tr w:rsidR="002742EE" w:rsidRPr="002742EE" w:rsidTr="002742EE">
        <w:tc>
          <w:tcPr>
            <w:tcW w:w="500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Використовуються під час заповнення документів на переказ органами виконавчої влади</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107</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 Повернення сум податків і зборів, помилково або надміру зарахованих до бюджету / єдиного внеску</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108</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 Перерахування коштів з одного бюджетного рахунку на інший</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058</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Проведення взаєморозрахунків з погашення податкового боргу та/або розстрочених (відстрочених) грошових зобов'язань</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114</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 Повернення з бюджету сум податків, зборів та інших платежів за рішеннями судів</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10С</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 Повернення на електронний рахунок платника надміру сплачених сум ПДВ</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09Ї</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 Відшкодовано ПДВ на поточний рахунок платника за рішенням суду</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10К</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 Відшкодовано ПДВ у рахунок сплати грошових зобов'язань або погашення податкового боргу з інших платежів за рішенням суду</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110</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 Відшкодування ПДВ на рахунок платника</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111</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 Відшкодування процентів за бюджетною заборгованістю</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117</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Надходження до бюджету коштів платника податків, щодо якого порушено провадження у справі про банкрутство</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129</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Повернення надміру утриманих (сплачених) сум податку з доходів фізичних осіб, які розраховуються контролюючим органом на підставі поданої платником податків податкової декларації за звітний календарний рік</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141</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Надходження до бюджету коштів у рахунок погашення податкового боргу/недоїмки з єдиного внеску</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147</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Стягнення в межах виконавчого провадження</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148</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Надходження в бюджет коштів від погашення податкового боргу в міжнародних правовідносинах</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149</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Надходження в бюджет коштів від реалізації безхазяйного майна, знахідок, спадкового майна, валютних цінностей і грошових коштів, власники яких невідомі, а також скарбів</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240</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 Надходження до бюджету коштів з рахунку в системі електронного адміністрування реалізації пального</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242</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 Надходження до бюджету коштів з рахунку в системі електронного адміністрування ПДВ</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248</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 Відшкодовано ПДВ у рахунок сплати грошових зобов'язань або погашення податкового боргу з інших платежів</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258</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Стягнення податкового боргу з ПДВ за рішенням суду в системі електронного адміністрування ПДВ</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351</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Перерахування до бюджету суми митних платежів</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t>358</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 xml:space="preserve">Сплата грошових зобов'язань з митних платежів, визначених за </w:t>
            </w:r>
            <w:r w:rsidRPr="002742EE">
              <w:rPr>
                <w:rFonts w:ascii="Times New Roman" w:hAnsi="Times New Roman"/>
              </w:rPr>
              <w:lastRenderedPageBreak/>
              <w:t>результатами контрольно-перевірочної роботи підрозділів податків і зборів з фізичних осіб</w:t>
            </w:r>
          </w:p>
        </w:tc>
      </w:tr>
      <w:tr w:rsidR="002742EE" w:rsidRPr="002742EE" w:rsidTr="002742EE">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EE" w:rsidRPr="002742EE" w:rsidRDefault="002742EE" w:rsidP="002742EE">
            <w:pPr>
              <w:spacing w:before="100" w:beforeAutospacing="1" w:after="100" w:afterAutospacing="1"/>
              <w:jc w:val="center"/>
              <w:rPr>
                <w:rFonts w:ascii="Times New Roman" w:hAnsi="Times New Roman"/>
              </w:rPr>
            </w:pPr>
            <w:r w:rsidRPr="002742EE">
              <w:rPr>
                <w:rFonts w:ascii="Times New Roman" w:hAnsi="Times New Roman"/>
              </w:rPr>
              <w:lastRenderedPageBreak/>
              <w:t>420</w:t>
            </w:r>
          </w:p>
        </w:tc>
        <w:tc>
          <w:tcPr>
            <w:tcW w:w="4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 Надходження сум бюджетного відшкодування ПДВ у рахунок сплати грошових зобов'язань або погашення податкового боргу з інших платежів</w:t>
            </w:r>
          </w:p>
        </w:tc>
      </w:tr>
    </w:tbl>
    <w:p w:rsidR="002742EE" w:rsidRPr="002742EE" w:rsidRDefault="002742EE" w:rsidP="002742EE">
      <w:pPr>
        <w:spacing w:before="100" w:beforeAutospacing="1" w:after="100" w:afterAutospacing="1"/>
        <w:rPr>
          <w:rFonts w:ascii="Times New Roman" w:hAnsi="Times New Roman"/>
        </w:rPr>
      </w:pPr>
      <w:r w:rsidRPr="002742EE">
        <w:rPr>
          <w:rFonts w:ascii="Times New Roman" w:hAnsi="Times New Roman"/>
        </w:rPr>
        <w:t> </w:t>
      </w:r>
    </w:p>
    <w:p w:rsidR="002742EE" w:rsidRPr="002742EE" w:rsidRDefault="002742EE" w:rsidP="002742EE">
      <w:pPr>
        <w:spacing w:before="100" w:beforeAutospacing="1" w:after="100" w:afterAutospacing="1"/>
        <w:rPr>
          <w:rFonts w:ascii="Times New Roman" w:hAnsi="Times New Roman"/>
        </w:rPr>
      </w:pPr>
    </w:p>
    <w:p w:rsidR="00577043" w:rsidRPr="002742EE" w:rsidRDefault="00577043" w:rsidP="002742EE">
      <w:pPr>
        <w:spacing w:before="100" w:beforeAutospacing="1" w:after="100" w:afterAutospacing="1"/>
        <w:rPr>
          <w:rFonts w:ascii="Times New Roman" w:hAnsi="Times New Roman"/>
        </w:rPr>
      </w:pPr>
    </w:p>
    <w:sectPr w:rsidR="00577043" w:rsidRPr="002742EE" w:rsidSect="005770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ntiqua">
    <w:altName w:val="Century Gothic"/>
    <w:charset w:val="00"/>
    <w:family w:val="swiss"/>
    <w:pitch w:val="variable"/>
    <w:sig w:usb0="000000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42EE"/>
    <w:rsid w:val="000E3C23"/>
    <w:rsid w:val="001E6541"/>
    <w:rsid w:val="002742EE"/>
    <w:rsid w:val="002C6CC3"/>
    <w:rsid w:val="002F1DCB"/>
    <w:rsid w:val="0047126E"/>
    <w:rsid w:val="004B6C56"/>
    <w:rsid w:val="005701BB"/>
    <w:rsid w:val="00577043"/>
    <w:rsid w:val="007952B2"/>
    <w:rsid w:val="007C05FF"/>
    <w:rsid w:val="00A36762"/>
    <w:rsid w:val="00A37567"/>
    <w:rsid w:val="00B2238E"/>
    <w:rsid w:val="00B958DB"/>
    <w:rsid w:val="00BF7ACB"/>
    <w:rsid w:val="00C23510"/>
    <w:rsid w:val="00C3615B"/>
    <w:rsid w:val="00C42CF4"/>
    <w:rsid w:val="00C81283"/>
    <w:rsid w:val="00E20A4E"/>
    <w:rsid w:val="00EF68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6"/>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Звичайний"/>
    <w:qFormat/>
    <w:rsid w:val="002742EE"/>
    <w:rPr>
      <w:rFonts w:ascii="Antiqua" w:hAnsi="Antiqua"/>
      <w:lang w:val="uk-UA"/>
    </w:rPr>
  </w:style>
  <w:style w:type="paragraph" w:styleId="1">
    <w:name w:val="heading 1"/>
    <w:basedOn w:val="a"/>
    <w:next w:val="a"/>
    <w:link w:val="10"/>
    <w:qFormat/>
    <w:rsid w:val="00E20A4E"/>
    <w:pPr>
      <w:keepNext/>
      <w:spacing w:before="240"/>
      <w:ind w:left="567"/>
      <w:outlineLvl w:val="0"/>
    </w:pPr>
    <w:rPr>
      <w:b/>
      <w:smallCaps/>
      <w:sz w:val="28"/>
    </w:rPr>
  </w:style>
  <w:style w:type="paragraph" w:styleId="2">
    <w:name w:val="heading 2"/>
    <w:basedOn w:val="a"/>
    <w:next w:val="a"/>
    <w:link w:val="20"/>
    <w:qFormat/>
    <w:rsid w:val="00E20A4E"/>
    <w:pPr>
      <w:keepNext/>
      <w:spacing w:before="120"/>
      <w:ind w:left="567"/>
      <w:outlineLvl w:val="1"/>
    </w:pPr>
    <w:rPr>
      <w:b/>
    </w:rPr>
  </w:style>
  <w:style w:type="paragraph" w:styleId="3">
    <w:name w:val="heading 3"/>
    <w:basedOn w:val="a"/>
    <w:next w:val="a"/>
    <w:link w:val="30"/>
    <w:qFormat/>
    <w:rsid w:val="00E20A4E"/>
    <w:pPr>
      <w:keepNext/>
      <w:spacing w:before="120"/>
      <w:ind w:left="567"/>
      <w:outlineLvl w:val="2"/>
    </w:pPr>
    <w:rPr>
      <w:b/>
      <w:i/>
      <w:lang w:val="ru-RU"/>
    </w:rPr>
  </w:style>
  <w:style w:type="paragraph" w:styleId="4">
    <w:name w:val="heading 4"/>
    <w:basedOn w:val="a"/>
    <w:next w:val="a"/>
    <w:link w:val="40"/>
    <w:qFormat/>
    <w:rsid w:val="00E20A4E"/>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0A4E"/>
    <w:rPr>
      <w:rFonts w:ascii="Antiqua" w:hAnsi="Antiqua"/>
      <w:b/>
      <w:smallCaps/>
      <w:sz w:val="28"/>
      <w:lang w:val="uk-UA"/>
    </w:rPr>
  </w:style>
  <w:style w:type="character" w:customStyle="1" w:styleId="20">
    <w:name w:val="Заголовок 2 Знак"/>
    <w:basedOn w:val="a0"/>
    <w:link w:val="2"/>
    <w:rsid w:val="00E20A4E"/>
    <w:rPr>
      <w:rFonts w:ascii="Antiqua" w:hAnsi="Antiqua"/>
      <w:b/>
      <w:sz w:val="26"/>
      <w:lang w:val="uk-UA"/>
    </w:rPr>
  </w:style>
  <w:style w:type="character" w:customStyle="1" w:styleId="30">
    <w:name w:val="Заголовок 3 Знак"/>
    <w:link w:val="3"/>
    <w:rsid w:val="00E20A4E"/>
    <w:rPr>
      <w:rFonts w:ascii="Antiqua" w:hAnsi="Antiqua"/>
      <w:b/>
      <w:i/>
      <w:sz w:val="26"/>
      <w:lang w:eastAsia="ru-RU"/>
    </w:rPr>
  </w:style>
  <w:style w:type="character" w:customStyle="1" w:styleId="40">
    <w:name w:val="Заголовок 4 Знак"/>
    <w:basedOn w:val="a0"/>
    <w:link w:val="4"/>
    <w:rsid w:val="00E20A4E"/>
    <w:rPr>
      <w:rFonts w:ascii="Antiqua" w:hAnsi="Antiqua"/>
      <w:sz w:val="26"/>
      <w:lang w:val="uk-UA"/>
    </w:rPr>
  </w:style>
  <w:style w:type="table" w:styleId="a3">
    <w:name w:val="Table Grid"/>
    <w:basedOn w:val="a1"/>
    <w:uiPriority w:val="59"/>
    <w:rsid w:val="002742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983</Words>
  <Characters>5604</Characters>
  <Application>Microsoft Office Word</Application>
  <DocSecurity>0</DocSecurity>
  <Lines>46</Lines>
  <Paragraphs>13</Paragraphs>
  <ScaleCrop>false</ScaleCrop>
  <Company>Microsoft</Company>
  <LinksUpToDate>false</LinksUpToDate>
  <CharactersWithSpaces>6574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2019-04-24T12:26:00Z</dcterms:created>
  <dcterms:modified xsi:type="dcterms:W3CDTF">2019-04-24T12:31:00Z</dcterms:modified>
</cp:coreProperties>
</file>